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F4FF" w14:textId="77777777" w:rsidR="00445248" w:rsidRPr="00445248" w:rsidRDefault="00445248" w:rsidP="00445248"/>
    <w:p w14:paraId="2EA156C1" w14:textId="38405A65" w:rsidR="00BC3A37" w:rsidRPr="006A1A21" w:rsidRDefault="004D0F5F" w:rsidP="006A1A21">
      <w:pPr>
        <w:pStyle w:val="Title"/>
        <w:jc w:val="center"/>
        <w:rPr>
          <w:rFonts w:ascii="Arial" w:hAnsi="Arial" w:cs="Arial"/>
          <w:sz w:val="22"/>
          <w:szCs w:val="22"/>
        </w:rPr>
      </w:pPr>
      <w:r w:rsidRPr="006A1A21">
        <w:rPr>
          <w:rFonts w:ascii="Arial" w:hAnsi="Arial" w:cs="Arial"/>
          <w:sz w:val="22"/>
          <w:szCs w:val="22"/>
        </w:rPr>
        <w:t>Terms of Reference (ToR)</w:t>
      </w:r>
      <w:r w:rsidR="007953F7">
        <w:rPr>
          <w:rFonts w:ascii="Arial" w:hAnsi="Arial" w:cs="Arial"/>
          <w:sz w:val="22"/>
          <w:szCs w:val="22"/>
        </w:rPr>
        <w:t xml:space="preserve"> for</w:t>
      </w:r>
    </w:p>
    <w:p w14:paraId="7E89F603" w14:textId="44A51FAB" w:rsidR="00BC3A37" w:rsidRDefault="00DD2241" w:rsidP="008C356A">
      <w:pPr>
        <w:pStyle w:val="Heading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Consultant – </w:t>
      </w:r>
      <w:r w:rsidR="004E0F5B">
        <w:rPr>
          <w:rFonts w:ascii="Arial" w:hAnsi="Arial" w:cs="Arial"/>
          <w:sz w:val="22"/>
          <w:szCs w:val="22"/>
        </w:rPr>
        <w:t>Students Digital Competencies Data Specialist</w:t>
      </w:r>
      <w:r w:rsidR="004D0F5F" w:rsidRPr="006A1A21">
        <w:rPr>
          <w:rFonts w:ascii="Arial" w:hAnsi="Arial" w:cs="Arial"/>
          <w:sz w:val="22"/>
          <w:szCs w:val="22"/>
        </w:rPr>
        <w:t xml:space="preserve"> for Online Assessment </w:t>
      </w:r>
      <w:r w:rsidR="0029069E">
        <w:rPr>
          <w:rFonts w:ascii="Arial" w:hAnsi="Arial" w:cs="Arial"/>
          <w:sz w:val="22"/>
          <w:szCs w:val="22"/>
        </w:rPr>
        <w:t>of</w:t>
      </w:r>
      <w:r w:rsidR="004D0F5F" w:rsidRPr="006A1A21">
        <w:rPr>
          <w:rFonts w:ascii="Arial" w:hAnsi="Arial" w:cs="Arial"/>
          <w:sz w:val="22"/>
          <w:szCs w:val="22"/>
        </w:rPr>
        <w:t xml:space="preserve"> Digital Competence of Primary School Students in Serbia</w:t>
      </w:r>
      <w:r w:rsidR="006A1A21">
        <w:rPr>
          <w:rFonts w:ascii="Arial" w:hAnsi="Arial" w:cs="Arial"/>
          <w:sz w:val="22"/>
          <w:szCs w:val="22"/>
        </w:rPr>
        <w:t xml:space="preserve"> aged 10</w:t>
      </w:r>
    </w:p>
    <w:p w14:paraId="65F380AC" w14:textId="77777777" w:rsidR="00683102" w:rsidRDefault="00683102" w:rsidP="00683102">
      <w:pPr>
        <w:rPr>
          <w:rFonts w:ascii="Arial" w:eastAsiaTheme="majorEastAsia" w:hAnsi="Arial" w:cs="Arial"/>
          <w:b/>
          <w:bCs/>
          <w:color w:val="365F91" w:themeColor="accent1" w:themeShade="BF"/>
        </w:rPr>
      </w:pPr>
    </w:p>
    <w:p w14:paraId="440E72B3" w14:textId="45BC5AC8" w:rsidR="00683102" w:rsidRPr="00683102" w:rsidRDefault="00683102" w:rsidP="00683102">
      <w:pPr>
        <w:jc w:val="center"/>
        <w:rPr>
          <w:rFonts w:ascii="Arial" w:eastAsiaTheme="majorEastAsia" w:hAnsi="Arial" w:cs="Arial"/>
          <w:b/>
          <w:bCs/>
          <w:color w:val="365F91" w:themeColor="accent1" w:themeShade="BF"/>
        </w:rPr>
      </w:pPr>
      <w:r w:rsidRPr="00683102">
        <w:rPr>
          <w:rFonts w:ascii="Arial" w:eastAsiaTheme="majorEastAsia" w:hAnsi="Arial" w:cs="Arial"/>
          <w:b/>
          <w:bCs/>
          <w:color w:val="365F91" w:themeColor="accent1" w:themeShade="BF"/>
        </w:rPr>
        <w:t>as part of the 21st Century Schools programme – phase II implemented by the British Council in partnership with the Ministry of Education in Serbia</w:t>
      </w:r>
    </w:p>
    <w:p w14:paraId="0228A355" w14:textId="77777777" w:rsidR="004D0F5F" w:rsidRPr="00683102" w:rsidRDefault="004D0F5F" w:rsidP="004D0F5F">
      <w:pPr>
        <w:rPr>
          <w:rFonts w:ascii="Arial" w:eastAsiaTheme="majorEastAsia" w:hAnsi="Arial" w:cs="Arial"/>
          <w:b/>
          <w:bCs/>
          <w:color w:val="365F91" w:themeColor="accent1" w:themeShade="BF"/>
        </w:rPr>
      </w:pPr>
    </w:p>
    <w:p w14:paraId="0714F84F" w14:textId="77777777" w:rsidR="004D0F5F" w:rsidRPr="004D0F5F" w:rsidRDefault="004D0F5F" w:rsidP="004D0F5F"/>
    <w:p w14:paraId="0DAFDCDF" w14:textId="77777777" w:rsidR="00BC3A37" w:rsidRPr="006A1A21" w:rsidRDefault="004D0F5F">
      <w:pPr>
        <w:pStyle w:val="Heading2"/>
        <w:rPr>
          <w:rFonts w:ascii="Arial" w:hAnsi="Arial" w:cs="Arial"/>
          <w:sz w:val="22"/>
          <w:szCs w:val="22"/>
        </w:rPr>
      </w:pPr>
      <w:r w:rsidRPr="006A1A21">
        <w:rPr>
          <w:rFonts w:ascii="Arial" w:hAnsi="Arial" w:cs="Arial"/>
          <w:sz w:val="22"/>
          <w:szCs w:val="22"/>
        </w:rPr>
        <w:t>1. Background</w:t>
      </w:r>
    </w:p>
    <w:p w14:paraId="2EB917FA" w14:textId="14EAD0F3" w:rsidR="00BC3A37" w:rsidRPr="006A1A21" w:rsidRDefault="004D0F5F" w:rsidP="007953F7">
      <w:pPr>
        <w:jc w:val="both"/>
        <w:rPr>
          <w:rFonts w:ascii="Arial" w:hAnsi="Arial" w:cs="Arial"/>
        </w:rPr>
      </w:pPr>
      <w:r w:rsidRPr="006A1A21">
        <w:rPr>
          <w:rFonts w:ascii="Arial" w:hAnsi="Arial" w:cs="Arial"/>
        </w:rPr>
        <w:t>The Institute for the Evaluation of the Quality of Education (ZVKOV), through its Education Technology</w:t>
      </w:r>
      <w:r w:rsidR="00E36BBC">
        <w:rPr>
          <w:rFonts w:ascii="Arial" w:hAnsi="Arial" w:cs="Arial"/>
          <w:lang w:val="sr-Cyrl-RS"/>
        </w:rPr>
        <w:t xml:space="preserve"> </w:t>
      </w:r>
      <w:r w:rsidR="00E36BBC">
        <w:rPr>
          <w:rFonts w:ascii="Arial" w:hAnsi="Arial" w:cs="Arial"/>
        </w:rPr>
        <w:t>Centre</w:t>
      </w:r>
      <w:r w:rsidRPr="006A1A21">
        <w:rPr>
          <w:rFonts w:ascii="Arial" w:hAnsi="Arial" w:cs="Arial"/>
        </w:rPr>
        <w:t>, is implementing activities to enhance the national quality assurance system in digital education. These efforts are aligned with national education strategies aiming to build 21st-century skills among learners in the Republic of Serbia</w:t>
      </w:r>
      <w:r w:rsidR="004C4BFE">
        <w:rPr>
          <w:rFonts w:ascii="Arial" w:hAnsi="Arial" w:cs="Arial"/>
        </w:rPr>
        <w:t xml:space="preserve"> and supported by the British Council</w:t>
      </w:r>
      <w:r w:rsidRPr="006A1A21">
        <w:rPr>
          <w:rFonts w:ascii="Arial" w:hAnsi="Arial" w:cs="Arial"/>
        </w:rPr>
        <w:t>.</w:t>
      </w:r>
    </w:p>
    <w:p w14:paraId="0B393A6C" w14:textId="6F6FE048" w:rsidR="006A1A21" w:rsidRDefault="004D0F5F" w:rsidP="007953F7">
      <w:pPr>
        <w:jc w:val="both"/>
        <w:rPr>
          <w:rFonts w:ascii="Arial" w:hAnsi="Arial" w:cs="Arial"/>
        </w:rPr>
      </w:pPr>
      <w:r w:rsidRPr="006A1A21">
        <w:rPr>
          <w:rFonts w:ascii="Arial" w:hAnsi="Arial" w:cs="Arial"/>
        </w:rPr>
        <w:t xml:space="preserve">Since </w:t>
      </w:r>
      <w:r w:rsidR="007953F7" w:rsidRPr="006A1A21">
        <w:rPr>
          <w:rFonts w:ascii="Arial" w:hAnsi="Arial" w:cs="Arial"/>
        </w:rPr>
        <w:t>2020</w:t>
      </w:r>
      <w:r w:rsidRPr="006A1A21">
        <w:rPr>
          <w:rFonts w:ascii="Arial" w:hAnsi="Arial" w:cs="Arial"/>
        </w:rPr>
        <w:t xml:space="preserve">/21 academic year, the subject Digital World has been introduced as a compulsory subject for </w:t>
      </w:r>
      <w:r w:rsidR="002C17D2">
        <w:rPr>
          <w:rFonts w:ascii="Arial" w:hAnsi="Arial" w:cs="Arial"/>
        </w:rPr>
        <w:t>lower grade</w:t>
      </w:r>
      <w:r w:rsidRPr="006A1A21">
        <w:rPr>
          <w:rFonts w:ascii="Arial" w:hAnsi="Arial" w:cs="Arial"/>
        </w:rPr>
        <w:t xml:space="preserve"> primary school students. To monitor learning outcomes in this area, ZVKOV conducted two large-scale online assessments:</w:t>
      </w:r>
      <w:r w:rsidRPr="006A1A21">
        <w:rPr>
          <w:rFonts w:ascii="Arial" w:hAnsi="Arial" w:cs="Arial"/>
        </w:rPr>
        <w:br/>
      </w:r>
    </w:p>
    <w:p w14:paraId="531E3BCF" w14:textId="77777777" w:rsidR="006A1A21" w:rsidRDefault="004D0F5F" w:rsidP="006A1A2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A1A21">
        <w:rPr>
          <w:rFonts w:ascii="Arial" w:hAnsi="Arial" w:cs="Arial"/>
        </w:rPr>
        <w:t>Baseline Study (Autumn 2022/23): Assessed digital competences of Grade 4 students with no formal instruction in the Digital World subject.</w:t>
      </w:r>
    </w:p>
    <w:p w14:paraId="0DD997CF" w14:textId="3EF0ADAA" w:rsidR="00BC3A37" w:rsidRPr="006A1A21" w:rsidRDefault="004D0F5F" w:rsidP="006A1A2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A1A21">
        <w:rPr>
          <w:rFonts w:ascii="Arial" w:hAnsi="Arial" w:cs="Arial"/>
        </w:rPr>
        <w:t xml:space="preserve">Main Study (Autumn 2023/24): Assessed digital competences of students who received formal instruction in Digital World from Grade 1 </w:t>
      </w:r>
      <w:r w:rsidR="003766FC">
        <w:rPr>
          <w:rFonts w:ascii="Arial" w:hAnsi="Arial" w:cs="Arial"/>
        </w:rPr>
        <w:t>to Grade 4.</w:t>
      </w:r>
    </w:p>
    <w:p w14:paraId="6FA18656" w14:textId="77777777" w:rsidR="00BC3A37" w:rsidRPr="006A1A21" w:rsidRDefault="004D0F5F">
      <w:pPr>
        <w:rPr>
          <w:rFonts w:ascii="Arial" w:hAnsi="Arial" w:cs="Arial"/>
        </w:rPr>
      </w:pPr>
      <w:r w:rsidRPr="006A1A21">
        <w:rPr>
          <w:rFonts w:ascii="Arial" w:hAnsi="Arial" w:cs="Arial"/>
        </w:rPr>
        <w:t>Both assessments used the same online tool, aligned with the national curriculum and learning outcomes for digital education.</w:t>
      </w:r>
    </w:p>
    <w:p w14:paraId="27D5982B" w14:textId="77777777" w:rsidR="00BC3A37" w:rsidRPr="006A1A21" w:rsidRDefault="004D0F5F">
      <w:pPr>
        <w:pStyle w:val="Heading2"/>
        <w:rPr>
          <w:rFonts w:ascii="Arial" w:hAnsi="Arial" w:cs="Arial"/>
          <w:sz w:val="22"/>
          <w:szCs w:val="22"/>
        </w:rPr>
      </w:pPr>
      <w:r w:rsidRPr="006A1A21">
        <w:rPr>
          <w:rFonts w:ascii="Arial" w:hAnsi="Arial" w:cs="Arial"/>
          <w:sz w:val="22"/>
          <w:szCs w:val="22"/>
        </w:rPr>
        <w:t>2. Objective of the Assignment</w:t>
      </w:r>
    </w:p>
    <w:p w14:paraId="483B81E3" w14:textId="3BDE2005" w:rsidR="00BC3A37" w:rsidRPr="006A1A21" w:rsidRDefault="00181D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objective </w:t>
      </w:r>
      <w:r w:rsidRPr="00181D86">
        <w:rPr>
          <w:rFonts w:ascii="Arial" w:hAnsi="Arial" w:cs="Arial"/>
        </w:rPr>
        <w:t>is to effectively assess and interpret the digital competence of 10-year-old students by employing a robust research design, comprehensive data collection methodology, and strategic data processing techniques.</w:t>
      </w:r>
    </w:p>
    <w:p w14:paraId="53E032D1" w14:textId="77777777" w:rsidR="00BC3A37" w:rsidRDefault="004D0F5F">
      <w:pPr>
        <w:pStyle w:val="Heading2"/>
        <w:rPr>
          <w:rFonts w:ascii="Arial" w:hAnsi="Arial" w:cs="Arial"/>
          <w:sz w:val="22"/>
          <w:szCs w:val="22"/>
        </w:rPr>
      </w:pPr>
      <w:r w:rsidRPr="006A1A21">
        <w:rPr>
          <w:rFonts w:ascii="Arial" w:hAnsi="Arial" w:cs="Arial"/>
          <w:sz w:val="22"/>
          <w:szCs w:val="22"/>
        </w:rPr>
        <w:t>3. Scope of Work</w:t>
      </w:r>
    </w:p>
    <w:p w14:paraId="106F6377" w14:textId="45311140" w:rsidR="00D91016" w:rsidRPr="00D91016" w:rsidRDefault="00A103AF" w:rsidP="00D91016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t xml:space="preserve">The </w:t>
      </w:r>
      <w:r w:rsidR="00D91016" w:rsidRPr="00D91016">
        <w:rPr>
          <w:rFonts w:ascii="Arial" w:eastAsia="Times New Roman" w:hAnsi="Arial" w:cs="Arial"/>
          <w:lang w:val="en-GB" w:eastAsia="en-GB"/>
        </w:rPr>
        <w:t xml:space="preserve">consultant will </w:t>
      </w:r>
      <w:r>
        <w:rPr>
          <w:rFonts w:ascii="Arial" w:eastAsia="Times New Roman" w:hAnsi="Arial" w:cs="Arial"/>
          <w:lang w:val="en-GB" w:eastAsia="en-GB"/>
        </w:rPr>
        <w:t>be responsible for the following</w:t>
      </w:r>
      <w:r w:rsidR="00D91016" w:rsidRPr="00D91016">
        <w:rPr>
          <w:rFonts w:ascii="Arial" w:eastAsia="Times New Roman" w:hAnsi="Arial" w:cs="Arial"/>
          <w:lang w:val="en-GB" w:eastAsia="en-GB"/>
        </w:rPr>
        <w:t>:</w:t>
      </w:r>
    </w:p>
    <w:p w14:paraId="13248490" w14:textId="77777777" w:rsidR="00A047ED" w:rsidRPr="00A047ED" w:rsidRDefault="00C37998" w:rsidP="00A047ED">
      <w:pPr>
        <w:pStyle w:val="ListParagraph"/>
        <w:numPr>
          <w:ilvl w:val="0"/>
          <w:numId w:val="29"/>
        </w:numPr>
        <w:spacing w:after="160" w:line="259" w:lineRule="auto"/>
        <w:rPr>
          <w:rFonts w:ascii="Arial" w:eastAsia="Aptos" w:hAnsi="Arial" w:cs="Arial"/>
          <w:kern w:val="2"/>
          <w:lang w:val="en-GB"/>
          <w14:ligatures w14:val="standardContextual"/>
        </w:rPr>
      </w:pPr>
      <w:r w:rsidRPr="00C37998">
        <w:rPr>
          <w:rFonts w:ascii="Arial" w:eastAsia="Times New Roman" w:hAnsi="Arial" w:cs="Arial"/>
          <w:b/>
          <w:bCs/>
          <w:lang w:val="en-GB" w:eastAsia="en-GB"/>
        </w:rPr>
        <w:t xml:space="preserve">• </w:t>
      </w:r>
      <w:r w:rsidR="00A047ED" w:rsidRPr="00A047ED">
        <w:rPr>
          <w:rFonts w:ascii="Arial" w:eastAsia="Aptos" w:hAnsi="Arial" w:cs="Arial"/>
          <w:kern w:val="2"/>
          <w:lang w:val="en-GB"/>
          <w14:ligatures w14:val="standardContextual"/>
        </w:rPr>
        <w:t>Develop a research design for a national digital competence assessment  of fourth grade elementary school students, including defining the objectives, target population, sample, and instruments.</w:t>
      </w:r>
    </w:p>
    <w:p w14:paraId="7AFE4753" w14:textId="2D5BAE91" w:rsidR="00A047ED" w:rsidRPr="00A047ED" w:rsidRDefault="00A047ED" w:rsidP="00A047ED">
      <w:pPr>
        <w:numPr>
          <w:ilvl w:val="0"/>
          <w:numId w:val="29"/>
        </w:numPr>
        <w:spacing w:after="160" w:line="259" w:lineRule="auto"/>
        <w:contextualSpacing/>
        <w:rPr>
          <w:rFonts w:ascii="Arial" w:eastAsia="Aptos" w:hAnsi="Arial" w:cs="Arial"/>
          <w:kern w:val="2"/>
          <w:lang w:val="en-GB"/>
          <w14:ligatures w14:val="standardContextual"/>
        </w:rPr>
      </w:pPr>
      <w:r w:rsidRPr="00A047ED">
        <w:rPr>
          <w:rFonts w:ascii="Arial" w:eastAsia="Aptos" w:hAnsi="Arial" w:cs="Arial"/>
          <w:kern w:val="2"/>
          <w:lang w:val="en-GB"/>
          <w14:ligatures w14:val="standardContextual"/>
        </w:rPr>
        <w:lastRenderedPageBreak/>
        <w:t xml:space="preserve">Define the methodology for collecting qualitative data, including the development of instruments (interview guides and focus groups) and the </w:t>
      </w:r>
      <w:r w:rsidR="00E32AC6" w:rsidRPr="00A047ED">
        <w:rPr>
          <w:rFonts w:ascii="Arial" w:eastAsia="Aptos" w:hAnsi="Arial" w:cs="Arial"/>
          <w:kern w:val="2"/>
          <w:lang w:val="en-GB"/>
          <w14:ligatures w14:val="standardContextual"/>
        </w:rPr>
        <w:t>preparation</w:t>
      </w:r>
      <w:r w:rsidRPr="00A047ED">
        <w:rPr>
          <w:rFonts w:ascii="Arial" w:eastAsia="Aptos" w:hAnsi="Arial" w:cs="Arial"/>
          <w:kern w:val="2"/>
          <w:lang w:val="en-GB"/>
          <w14:ligatures w14:val="standardContextual"/>
        </w:rPr>
        <w:t xml:space="preserve"> of interviewers and supervisors.</w:t>
      </w:r>
    </w:p>
    <w:p w14:paraId="08033224" w14:textId="77777777" w:rsidR="00A047ED" w:rsidRPr="00A047ED" w:rsidRDefault="00A047ED" w:rsidP="00A047ED">
      <w:pPr>
        <w:numPr>
          <w:ilvl w:val="0"/>
          <w:numId w:val="29"/>
        </w:numPr>
        <w:spacing w:after="160" w:line="259" w:lineRule="auto"/>
        <w:contextualSpacing/>
        <w:rPr>
          <w:rFonts w:ascii="Arial" w:eastAsia="Aptos" w:hAnsi="Arial" w:cs="Arial"/>
          <w:kern w:val="2"/>
          <w:lang w:val="en-GB"/>
          <w14:ligatures w14:val="standardContextual"/>
        </w:rPr>
      </w:pPr>
      <w:r w:rsidRPr="00A047ED">
        <w:rPr>
          <w:rFonts w:ascii="Arial" w:eastAsia="Aptos" w:hAnsi="Arial" w:cs="Arial"/>
          <w:kern w:val="2"/>
          <w:lang w:val="en-GB"/>
          <w14:ligatures w14:val="standardContextual"/>
        </w:rPr>
        <w:t>Define strategies for processing and statistical analysis of data obtained:</w:t>
      </w:r>
    </w:p>
    <w:p w14:paraId="7DA753A2" w14:textId="77777777" w:rsidR="00A047ED" w:rsidRPr="00A047ED" w:rsidRDefault="00A047ED" w:rsidP="00A047ED">
      <w:pPr>
        <w:spacing w:after="160" w:line="240" w:lineRule="auto"/>
        <w:ind w:firstLine="709"/>
        <w:rPr>
          <w:rFonts w:ascii="Arial" w:eastAsia="Aptos" w:hAnsi="Arial" w:cs="Arial"/>
          <w:kern w:val="2"/>
          <w:lang w:val="en-GB"/>
          <w14:ligatures w14:val="standardContextual"/>
        </w:rPr>
      </w:pPr>
      <w:r w:rsidRPr="00A047ED">
        <w:rPr>
          <w:rFonts w:ascii="Arial" w:eastAsia="Aptos" w:hAnsi="Arial" w:cs="Arial"/>
          <w:kern w:val="2"/>
          <w:lang w:val="en-GB"/>
          <w14:ligatures w14:val="standardContextual"/>
        </w:rPr>
        <w:t>-</w:t>
      </w:r>
      <w:r w:rsidRPr="00A047ED">
        <w:rPr>
          <w:rFonts w:ascii="Arial" w:eastAsia="Aptos" w:hAnsi="Arial" w:cs="Arial"/>
          <w:kern w:val="2"/>
          <w:lang w:val="en-GB"/>
          <w14:ligatures w14:val="standardContextual"/>
        </w:rPr>
        <w:tab/>
        <w:t>on direct testing of students' knowledge</w:t>
      </w:r>
    </w:p>
    <w:p w14:paraId="174075C6" w14:textId="77777777" w:rsidR="00A047ED" w:rsidRPr="00A047ED" w:rsidRDefault="00A047ED" w:rsidP="00A047ED">
      <w:pPr>
        <w:spacing w:after="160" w:line="240" w:lineRule="auto"/>
        <w:ind w:firstLine="709"/>
        <w:rPr>
          <w:rFonts w:ascii="Arial" w:eastAsia="Aptos" w:hAnsi="Arial" w:cs="Arial"/>
          <w:kern w:val="2"/>
          <w:lang w:val="en-GB"/>
          <w14:ligatures w14:val="standardContextual"/>
        </w:rPr>
      </w:pPr>
      <w:r w:rsidRPr="00A047ED">
        <w:rPr>
          <w:rFonts w:ascii="Arial" w:eastAsia="Aptos" w:hAnsi="Arial" w:cs="Arial"/>
          <w:kern w:val="2"/>
          <w:lang w:val="en-GB"/>
          <w14:ligatures w14:val="standardContextual"/>
        </w:rPr>
        <w:t>-</w:t>
      </w:r>
      <w:r w:rsidRPr="00A047ED">
        <w:rPr>
          <w:rFonts w:ascii="Arial" w:eastAsia="Aptos" w:hAnsi="Arial" w:cs="Arial"/>
          <w:kern w:val="2"/>
          <w:lang w:val="en-GB"/>
          <w14:ligatures w14:val="standardContextual"/>
        </w:rPr>
        <w:tab/>
        <w:t>during interviews and focus groups.</w:t>
      </w:r>
    </w:p>
    <w:p w14:paraId="1EF2F397" w14:textId="77777777" w:rsidR="00A047ED" w:rsidRPr="00A047ED" w:rsidRDefault="00A047ED" w:rsidP="00A047ED">
      <w:pPr>
        <w:numPr>
          <w:ilvl w:val="0"/>
          <w:numId w:val="30"/>
        </w:numPr>
        <w:spacing w:after="160" w:line="240" w:lineRule="auto"/>
        <w:contextualSpacing/>
        <w:rPr>
          <w:rFonts w:ascii="Arial" w:eastAsia="Aptos" w:hAnsi="Arial" w:cs="Arial"/>
          <w:kern w:val="2"/>
          <w:lang w:val="en-GB"/>
          <w14:ligatures w14:val="standardContextual"/>
        </w:rPr>
      </w:pPr>
      <w:r w:rsidRPr="00A047ED">
        <w:rPr>
          <w:rFonts w:ascii="Arial" w:eastAsia="Aptos" w:hAnsi="Arial" w:cs="Arial"/>
          <w:kern w:val="2"/>
          <w:lang w:val="en-GB"/>
          <w14:ligatures w14:val="standardContextual"/>
        </w:rPr>
        <w:t>Process data using appropriate statistical techniques (e.g. Attitudinal Response Theory - IRT, multivariate analysis).</w:t>
      </w:r>
    </w:p>
    <w:p w14:paraId="6977A658" w14:textId="77777777" w:rsidR="00A047ED" w:rsidRPr="00A047ED" w:rsidRDefault="00A047ED" w:rsidP="00A047ED">
      <w:pPr>
        <w:numPr>
          <w:ilvl w:val="0"/>
          <w:numId w:val="30"/>
        </w:numPr>
        <w:spacing w:after="160" w:line="240" w:lineRule="auto"/>
        <w:contextualSpacing/>
        <w:rPr>
          <w:rFonts w:ascii="Arial" w:eastAsia="Aptos" w:hAnsi="Arial" w:cs="Arial"/>
          <w:kern w:val="2"/>
          <w:lang w:val="en-GB"/>
          <w14:ligatures w14:val="standardContextual"/>
        </w:rPr>
      </w:pPr>
      <w:r w:rsidRPr="00A047ED">
        <w:rPr>
          <w:rFonts w:ascii="Arial" w:eastAsia="Aptos" w:hAnsi="Arial" w:cs="Arial"/>
          <w:kern w:val="2"/>
          <w:lang w:val="en-GB"/>
          <w14:ligatures w14:val="standardContextual"/>
        </w:rPr>
        <w:t>Interpret the results of statistical analysis in the context of research objectives and relevant literature.</w:t>
      </w:r>
    </w:p>
    <w:p w14:paraId="2E356A8B" w14:textId="77777777" w:rsidR="00A047ED" w:rsidRPr="00A047ED" w:rsidRDefault="00A047ED" w:rsidP="00A047ED">
      <w:pPr>
        <w:numPr>
          <w:ilvl w:val="0"/>
          <w:numId w:val="30"/>
        </w:numPr>
        <w:spacing w:after="160" w:line="240" w:lineRule="auto"/>
        <w:contextualSpacing/>
        <w:rPr>
          <w:rFonts w:ascii="Arial" w:eastAsia="Aptos" w:hAnsi="Arial" w:cs="Arial"/>
          <w:kern w:val="2"/>
          <w:lang w:val="en-GB"/>
          <w14:ligatures w14:val="standardContextual"/>
        </w:rPr>
      </w:pPr>
      <w:r w:rsidRPr="00A047ED">
        <w:rPr>
          <w:rFonts w:ascii="Arial" w:eastAsia="Aptos" w:hAnsi="Arial" w:cs="Arial"/>
          <w:kern w:val="2"/>
          <w:lang w:val="en-GB"/>
          <w14:ligatures w14:val="standardContextual"/>
        </w:rPr>
        <w:t xml:space="preserve"> Process qualitative data using appropriate analytical techniques (e.g. thematic content analysis).</w:t>
      </w:r>
    </w:p>
    <w:p w14:paraId="5245118A" w14:textId="77777777" w:rsidR="00A047ED" w:rsidRPr="00A047ED" w:rsidRDefault="00A047ED" w:rsidP="00A047ED">
      <w:pPr>
        <w:numPr>
          <w:ilvl w:val="0"/>
          <w:numId w:val="30"/>
        </w:numPr>
        <w:spacing w:after="160" w:line="240" w:lineRule="auto"/>
        <w:contextualSpacing/>
        <w:rPr>
          <w:rFonts w:ascii="Arial" w:eastAsia="Aptos" w:hAnsi="Arial" w:cs="Arial"/>
          <w:kern w:val="2"/>
          <w:lang w:val="en-GB"/>
          <w14:ligatures w14:val="standardContextual"/>
        </w:rPr>
      </w:pPr>
      <w:r w:rsidRPr="00A047ED">
        <w:rPr>
          <w:rFonts w:ascii="Arial" w:eastAsia="Aptos" w:hAnsi="Arial" w:cs="Arial"/>
          <w:kern w:val="2"/>
          <w:lang w:val="en-GB"/>
          <w14:ligatures w14:val="standardContextual"/>
        </w:rPr>
        <w:t xml:space="preserve"> Interpret the results of the qualitative analysis in the context of the research objectives and relevant literature.</w:t>
      </w:r>
    </w:p>
    <w:p w14:paraId="3EBEBA11" w14:textId="77777777" w:rsidR="00A047ED" w:rsidRPr="00A047ED" w:rsidRDefault="00A047ED" w:rsidP="00A047ED">
      <w:pPr>
        <w:numPr>
          <w:ilvl w:val="0"/>
          <w:numId w:val="30"/>
        </w:numPr>
        <w:spacing w:after="160" w:line="240" w:lineRule="auto"/>
        <w:contextualSpacing/>
        <w:rPr>
          <w:rFonts w:ascii="Arial" w:eastAsia="Aptos" w:hAnsi="Arial" w:cs="Arial"/>
          <w:kern w:val="2"/>
          <w:lang w:val="en-GB"/>
          <w14:ligatures w14:val="standardContextual"/>
        </w:rPr>
      </w:pPr>
      <w:r w:rsidRPr="00A047ED">
        <w:rPr>
          <w:rFonts w:ascii="Arial" w:eastAsia="Aptos" w:hAnsi="Arial" w:cs="Arial"/>
          <w:kern w:val="2"/>
          <w:lang w:val="en-GB"/>
          <w14:ligatures w14:val="standardContextual"/>
        </w:rPr>
        <w:t>Produce a detailed report on the results of the national assessment, including methodology, key findings and recommendations.</w:t>
      </w:r>
    </w:p>
    <w:p w14:paraId="2695DED9" w14:textId="35F4FD56" w:rsidR="00850ECA" w:rsidRDefault="00850ECA" w:rsidP="00A047ED">
      <w:pPr>
        <w:rPr>
          <w:rFonts w:ascii="Arial" w:eastAsia="Times New Roman" w:hAnsi="Arial" w:cs="Arial"/>
          <w:b/>
          <w:bCs/>
          <w:lang w:val="en-GB" w:eastAsia="en-GB"/>
        </w:rPr>
      </w:pPr>
    </w:p>
    <w:p w14:paraId="15BAAFAE" w14:textId="19F6A7F3" w:rsidR="00D91016" w:rsidRPr="00D91016" w:rsidRDefault="00D91016" w:rsidP="00850ECA">
      <w:pPr>
        <w:rPr>
          <w:rFonts w:ascii="Arial" w:eastAsia="Times New Roman" w:hAnsi="Arial" w:cs="Arial"/>
          <w:b/>
          <w:bCs/>
          <w:lang w:val="en-GB" w:eastAsia="en-GB"/>
        </w:rPr>
      </w:pPr>
      <w:r w:rsidRPr="00D91016">
        <w:rPr>
          <w:rFonts w:ascii="Arial" w:eastAsia="Times New Roman" w:hAnsi="Arial" w:cs="Arial"/>
          <w:b/>
          <w:bCs/>
          <w:lang w:val="en-GB" w:eastAsia="en-GB"/>
        </w:rPr>
        <w:t>Deliverables</w:t>
      </w:r>
    </w:p>
    <w:p w14:paraId="35F267ED" w14:textId="5E9303A8" w:rsidR="00D91016" w:rsidRPr="00D91016" w:rsidRDefault="001C05C8" w:rsidP="00D91016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t xml:space="preserve">The </w:t>
      </w:r>
      <w:r w:rsidR="00D91016" w:rsidRPr="00D91016">
        <w:rPr>
          <w:rFonts w:ascii="Arial" w:eastAsia="Times New Roman" w:hAnsi="Arial" w:cs="Arial"/>
          <w:lang w:val="en-GB" w:eastAsia="en-GB"/>
        </w:rPr>
        <w:t>consultant will provide the following:</w:t>
      </w:r>
    </w:p>
    <w:p w14:paraId="17E7F4F3" w14:textId="1A8D5A74" w:rsidR="00E21270" w:rsidRDefault="00577A44" w:rsidP="002A1E9F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t>D</w:t>
      </w:r>
      <w:r w:rsidRPr="00577A44">
        <w:rPr>
          <w:rFonts w:ascii="Arial" w:eastAsia="Times New Roman" w:hAnsi="Arial" w:cs="Arial"/>
          <w:lang w:val="en-GB" w:eastAsia="en-GB"/>
        </w:rPr>
        <w:t xml:space="preserve">etailed report on the results of the national </w:t>
      </w:r>
      <w:r>
        <w:rPr>
          <w:rFonts w:ascii="Arial" w:eastAsia="Times New Roman" w:hAnsi="Arial" w:cs="Arial"/>
          <w:lang w:val="en-GB" w:eastAsia="en-GB"/>
        </w:rPr>
        <w:t>assessment</w:t>
      </w:r>
      <w:r w:rsidRPr="00577A44">
        <w:rPr>
          <w:rFonts w:ascii="Arial" w:eastAsia="Times New Roman" w:hAnsi="Arial" w:cs="Arial"/>
          <w:lang w:val="en-GB" w:eastAsia="en-GB"/>
        </w:rPr>
        <w:t>, including methodology, key findings and recommendations</w:t>
      </w:r>
    </w:p>
    <w:p w14:paraId="388B7B09" w14:textId="357D3773" w:rsidR="00577A44" w:rsidRDefault="00577A44" w:rsidP="002A1E9F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t>Results of the national assessment presented to relevant stakeholders</w:t>
      </w:r>
      <w:r w:rsidR="007D63D9" w:rsidRPr="007D63D9">
        <w:t xml:space="preserve"> </w:t>
      </w:r>
      <w:r w:rsidR="007D63D9" w:rsidRPr="007D63D9">
        <w:rPr>
          <w:rFonts w:ascii="Arial" w:eastAsia="Times New Roman" w:hAnsi="Arial" w:cs="Arial"/>
          <w:lang w:val="en-GB" w:eastAsia="en-GB"/>
        </w:rPr>
        <w:t>(e.g. the Ministry of Education, educational institutions, the general public)</w:t>
      </w:r>
    </w:p>
    <w:p w14:paraId="0B0DE391" w14:textId="77777777" w:rsidR="0002078B" w:rsidRPr="002A1E9F" w:rsidRDefault="0002078B" w:rsidP="0002078B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</w:p>
    <w:p w14:paraId="2BAEEB1C" w14:textId="77777777" w:rsidR="00BC3A37" w:rsidRPr="006A1A21" w:rsidRDefault="004D0F5F">
      <w:pPr>
        <w:pStyle w:val="Heading2"/>
        <w:rPr>
          <w:rFonts w:ascii="Arial" w:hAnsi="Arial" w:cs="Arial"/>
          <w:sz w:val="22"/>
          <w:szCs w:val="22"/>
        </w:rPr>
      </w:pPr>
      <w:r w:rsidRPr="006A1A21">
        <w:rPr>
          <w:rFonts w:ascii="Arial" w:hAnsi="Arial" w:cs="Arial"/>
          <w:sz w:val="22"/>
          <w:szCs w:val="22"/>
        </w:rPr>
        <w:t>5. Timeline</w:t>
      </w:r>
    </w:p>
    <w:p w14:paraId="1FD81B35" w14:textId="77777777" w:rsidR="004D0F5F" w:rsidRDefault="004D0F5F">
      <w:pPr>
        <w:rPr>
          <w:rFonts w:ascii="Arial" w:hAnsi="Arial" w:cs="Arial"/>
        </w:rPr>
      </w:pPr>
    </w:p>
    <w:p w14:paraId="1EEB0E1F" w14:textId="7AF5EA98" w:rsidR="00444089" w:rsidRDefault="008F247E">
      <w:pPr>
        <w:rPr>
          <w:rFonts w:ascii="Arial" w:hAnsi="Arial" w:cs="Arial"/>
        </w:rPr>
      </w:pPr>
      <w:r w:rsidRPr="008F247E">
        <w:rPr>
          <w:rFonts w:ascii="Arial" w:hAnsi="Arial" w:cs="Arial"/>
        </w:rPr>
        <w:t xml:space="preserve">The estimated duration of the consultancy is from </w:t>
      </w:r>
      <w:r w:rsidR="003E1246">
        <w:rPr>
          <w:rFonts w:ascii="Arial" w:hAnsi="Arial" w:cs="Arial"/>
        </w:rPr>
        <w:t>2</w:t>
      </w:r>
      <w:r w:rsidR="00DF0FCB">
        <w:rPr>
          <w:rFonts w:ascii="Arial" w:hAnsi="Arial" w:cs="Arial"/>
        </w:rPr>
        <w:t>7</w:t>
      </w:r>
      <w:r w:rsidRPr="008F247E">
        <w:rPr>
          <w:rFonts w:ascii="Arial" w:hAnsi="Arial" w:cs="Arial"/>
        </w:rPr>
        <w:t xml:space="preserve"> October 2025 to 31 March 2026. The consultant is expected to work up to </w:t>
      </w:r>
      <w:r w:rsidR="00C16D5F">
        <w:rPr>
          <w:rFonts w:ascii="Arial" w:hAnsi="Arial" w:cs="Arial"/>
        </w:rPr>
        <w:t>20</w:t>
      </w:r>
      <w:r w:rsidRPr="008F247E">
        <w:rPr>
          <w:rFonts w:ascii="Arial" w:hAnsi="Arial" w:cs="Arial"/>
        </w:rPr>
        <w:t xml:space="preserve"> consultancy days.</w:t>
      </w:r>
    </w:p>
    <w:p w14:paraId="223521ED" w14:textId="722F524C" w:rsidR="00BC3A37" w:rsidRPr="006A1A21" w:rsidRDefault="004D0F5F">
      <w:pPr>
        <w:pStyle w:val="Heading2"/>
        <w:rPr>
          <w:rFonts w:ascii="Arial" w:hAnsi="Arial" w:cs="Arial"/>
          <w:sz w:val="22"/>
          <w:szCs w:val="22"/>
        </w:rPr>
      </w:pPr>
      <w:r w:rsidRPr="006A1A21">
        <w:rPr>
          <w:rFonts w:ascii="Arial" w:hAnsi="Arial" w:cs="Arial"/>
          <w:sz w:val="22"/>
          <w:szCs w:val="22"/>
        </w:rPr>
        <w:t xml:space="preserve">6. Required </w:t>
      </w:r>
      <w:r w:rsidR="008C356A">
        <w:rPr>
          <w:rFonts w:ascii="Arial" w:hAnsi="Arial" w:cs="Arial"/>
          <w:sz w:val="22"/>
          <w:szCs w:val="22"/>
        </w:rPr>
        <w:t>q</w:t>
      </w:r>
      <w:r w:rsidRPr="006A1A21">
        <w:rPr>
          <w:rFonts w:ascii="Arial" w:hAnsi="Arial" w:cs="Arial"/>
          <w:sz w:val="22"/>
          <w:szCs w:val="22"/>
        </w:rPr>
        <w:t>ualifications</w:t>
      </w:r>
    </w:p>
    <w:p w14:paraId="29399740" w14:textId="52C3FF1F" w:rsidR="00970913" w:rsidRDefault="00970913">
      <w:pPr>
        <w:rPr>
          <w:rFonts w:ascii="Arial" w:hAnsi="Arial" w:cs="Arial"/>
        </w:rPr>
      </w:pPr>
    </w:p>
    <w:p w14:paraId="62671093" w14:textId="77777777" w:rsidR="004212B8" w:rsidRPr="004212B8" w:rsidRDefault="004212B8" w:rsidP="004212B8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4212B8">
        <w:rPr>
          <w:rFonts w:ascii="Arial" w:hAnsi="Arial" w:cs="Arial"/>
        </w:rPr>
        <w:t>Minimum of 3 years of experience in educational research, policy analysis, or data analysis, preferably within international education studies</w:t>
      </w:r>
    </w:p>
    <w:p w14:paraId="26F3CB3E" w14:textId="77777777" w:rsidR="004212B8" w:rsidRPr="004212B8" w:rsidRDefault="004212B8" w:rsidP="004212B8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4212B8">
        <w:rPr>
          <w:rFonts w:ascii="Arial" w:hAnsi="Arial" w:cs="Arial"/>
        </w:rPr>
        <w:t>Proven experience in research, data analysis, and report writing, particularly in educational research or international studies.</w:t>
      </w:r>
    </w:p>
    <w:p w14:paraId="41B9049D" w14:textId="77777777" w:rsidR="004212B8" w:rsidRPr="004212B8" w:rsidRDefault="004212B8" w:rsidP="004212B8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4212B8">
        <w:rPr>
          <w:rFonts w:ascii="Arial" w:hAnsi="Arial" w:cs="Arial"/>
        </w:rPr>
        <w:t>Proficiency in statistical software (e.g., SPSS, R, Stata) and data visualization tools (e.g., Tableau, Excel).</w:t>
      </w:r>
    </w:p>
    <w:p w14:paraId="71F2D82B" w14:textId="77777777" w:rsidR="004212B8" w:rsidRPr="004212B8" w:rsidRDefault="004212B8" w:rsidP="004212B8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4212B8">
        <w:rPr>
          <w:rFonts w:ascii="Arial" w:hAnsi="Arial" w:cs="Arial"/>
        </w:rPr>
        <w:t>Strong analytical skills and the ability to synthesize large datasets into coherent insights.</w:t>
      </w:r>
    </w:p>
    <w:p w14:paraId="6B63505F" w14:textId="0C5BE15C" w:rsidR="00BC3A37" w:rsidRPr="00970913" w:rsidRDefault="004212B8" w:rsidP="004212B8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4212B8">
        <w:rPr>
          <w:rFonts w:ascii="Arial" w:hAnsi="Arial" w:cs="Arial"/>
        </w:rPr>
        <w:lastRenderedPageBreak/>
        <w:t>Strong understanding of research methodologies, including both qualitative and quantitative approaches</w:t>
      </w:r>
    </w:p>
    <w:p w14:paraId="055B6F26" w14:textId="77777777" w:rsidR="00CB66A1" w:rsidRPr="00CB66A1" w:rsidRDefault="00CB66A1" w:rsidP="00CB66A1"/>
    <w:p w14:paraId="5C0F2D18" w14:textId="7BECC49C" w:rsidR="00BC3A37" w:rsidRPr="006A1A21" w:rsidRDefault="004D0F5F">
      <w:pPr>
        <w:pStyle w:val="Heading2"/>
        <w:rPr>
          <w:rFonts w:ascii="Arial" w:hAnsi="Arial" w:cs="Arial"/>
          <w:sz w:val="22"/>
          <w:szCs w:val="22"/>
        </w:rPr>
      </w:pPr>
      <w:r w:rsidRPr="006A1A21">
        <w:rPr>
          <w:rFonts w:ascii="Arial" w:hAnsi="Arial" w:cs="Arial"/>
          <w:sz w:val="22"/>
          <w:szCs w:val="22"/>
        </w:rPr>
        <w:t xml:space="preserve">7. Reporting and </w:t>
      </w:r>
      <w:r w:rsidR="00BF4FD4">
        <w:rPr>
          <w:rFonts w:ascii="Arial" w:hAnsi="Arial" w:cs="Arial"/>
          <w:sz w:val="22"/>
          <w:szCs w:val="22"/>
        </w:rPr>
        <w:t>s</w:t>
      </w:r>
      <w:r w:rsidRPr="006A1A21">
        <w:rPr>
          <w:rFonts w:ascii="Arial" w:hAnsi="Arial" w:cs="Arial"/>
          <w:sz w:val="22"/>
          <w:szCs w:val="22"/>
        </w:rPr>
        <w:t>upervision</w:t>
      </w:r>
    </w:p>
    <w:p w14:paraId="4D41D0CD" w14:textId="1FCC06EB" w:rsidR="00BC3A37" w:rsidRDefault="004D0F5F">
      <w:pPr>
        <w:rPr>
          <w:rFonts w:ascii="Arial" w:hAnsi="Arial" w:cs="Arial"/>
        </w:rPr>
      </w:pPr>
      <w:r w:rsidRPr="006A1A21">
        <w:rPr>
          <w:rFonts w:ascii="Arial" w:hAnsi="Arial" w:cs="Arial"/>
        </w:rPr>
        <w:t xml:space="preserve">The consultant will </w:t>
      </w:r>
      <w:r w:rsidR="002370D7">
        <w:rPr>
          <w:rFonts w:ascii="Arial" w:hAnsi="Arial" w:cs="Arial"/>
        </w:rPr>
        <w:t xml:space="preserve">provide regular </w:t>
      </w:r>
      <w:r w:rsidRPr="006A1A21">
        <w:rPr>
          <w:rFonts w:ascii="Arial" w:hAnsi="Arial" w:cs="Arial"/>
        </w:rPr>
        <w:t>report</w:t>
      </w:r>
      <w:r w:rsidR="002370D7">
        <w:rPr>
          <w:rFonts w:ascii="Arial" w:hAnsi="Arial" w:cs="Arial"/>
        </w:rPr>
        <w:t>s</w:t>
      </w:r>
      <w:r w:rsidRPr="006A1A21">
        <w:rPr>
          <w:rFonts w:ascii="Arial" w:hAnsi="Arial" w:cs="Arial"/>
        </w:rPr>
        <w:t xml:space="preserve"> to the designated focal point at the British Council</w:t>
      </w:r>
      <w:r w:rsidR="00BF4FD4">
        <w:rPr>
          <w:rFonts w:ascii="Arial" w:hAnsi="Arial" w:cs="Arial"/>
        </w:rPr>
        <w:t xml:space="preserve"> and ZVKOV</w:t>
      </w:r>
      <w:r w:rsidRPr="006A1A21">
        <w:rPr>
          <w:rFonts w:ascii="Arial" w:hAnsi="Arial" w:cs="Arial"/>
        </w:rPr>
        <w:t>. Regular coordination meetings will be held to ensure alignment with project expectations and milestones.</w:t>
      </w:r>
    </w:p>
    <w:p w14:paraId="1220E3C8" w14:textId="77777777" w:rsidR="002C1986" w:rsidRDefault="002C1986">
      <w:pPr>
        <w:rPr>
          <w:rFonts w:ascii="Arial" w:hAnsi="Arial" w:cs="Arial"/>
        </w:rPr>
      </w:pPr>
    </w:p>
    <w:p w14:paraId="6767E53F" w14:textId="43E2AB33" w:rsidR="002C1986" w:rsidRPr="00D463D9" w:rsidRDefault="002C1986" w:rsidP="002C1986">
      <w:pPr>
        <w:jc w:val="both"/>
        <w:rPr>
          <w:rFonts w:ascii="Arial" w:hAnsi="Arial" w:cs="Arial"/>
          <w:b/>
          <w:bCs/>
          <w:lang w:val="en-GB"/>
        </w:rPr>
      </w:pPr>
      <w:r w:rsidRPr="00D463D9">
        <w:rPr>
          <w:rFonts w:ascii="Arial" w:hAnsi="Arial" w:cs="Arial"/>
          <w:b/>
          <w:bCs/>
          <w:lang w:val="en-GB"/>
        </w:rPr>
        <w:t xml:space="preserve">Closing Date – </w:t>
      </w:r>
      <w:r>
        <w:rPr>
          <w:rFonts w:ascii="Arial" w:hAnsi="Arial" w:cs="Arial"/>
          <w:b/>
          <w:bCs/>
          <w:lang w:val="en-GB"/>
        </w:rPr>
        <w:t>2</w:t>
      </w:r>
      <w:r w:rsidR="00D052B9">
        <w:rPr>
          <w:rFonts w:ascii="Arial" w:hAnsi="Arial" w:cs="Arial"/>
          <w:b/>
          <w:bCs/>
          <w:lang w:val="en-GB"/>
        </w:rPr>
        <w:t>1</w:t>
      </w:r>
      <w:r w:rsidR="006F0811">
        <w:rPr>
          <w:rFonts w:ascii="Arial" w:hAnsi="Arial" w:cs="Arial"/>
          <w:b/>
          <w:bCs/>
          <w:lang w:val="en-GB"/>
        </w:rPr>
        <w:t>st</w:t>
      </w:r>
      <w:r w:rsidRPr="00D463D9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October</w:t>
      </w:r>
      <w:r w:rsidRPr="00D463D9">
        <w:rPr>
          <w:rFonts w:ascii="Arial" w:hAnsi="Arial" w:cs="Arial"/>
          <w:b/>
          <w:bCs/>
          <w:lang w:val="en-GB"/>
        </w:rPr>
        <w:t xml:space="preserve"> 202</w:t>
      </w:r>
      <w:r>
        <w:rPr>
          <w:rFonts w:ascii="Arial" w:hAnsi="Arial" w:cs="Arial"/>
          <w:b/>
          <w:bCs/>
          <w:lang w:val="en-GB"/>
        </w:rPr>
        <w:t>5</w:t>
      </w:r>
    </w:p>
    <w:p w14:paraId="17D292CE" w14:textId="77777777" w:rsidR="002C1986" w:rsidRPr="00D463D9" w:rsidRDefault="002C1986" w:rsidP="002C1986">
      <w:pPr>
        <w:jc w:val="both"/>
        <w:rPr>
          <w:rFonts w:ascii="Arial" w:hAnsi="Arial" w:cs="Arial"/>
          <w:b/>
          <w:bCs/>
          <w:lang w:val="en-GB"/>
        </w:rPr>
      </w:pPr>
      <w:r w:rsidRPr="00D463D9">
        <w:rPr>
          <w:rFonts w:ascii="Arial" w:hAnsi="Arial" w:cs="Arial"/>
          <w:b/>
          <w:bCs/>
          <w:lang w:val="en-GB"/>
        </w:rPr>
        <w:t>Equality, Diversity, and Inclusion (EDI) Statement</w:t>
      </w:r>
    </w:p>
    <w:p w14:paraId="0456B86A" w14:textId="77777777" w:rsidR="002C1986" w:rsidRPr="00D463D9" w:rsidRDefault="002C1986" w:rsidP="002C1986">
      <w:pPr>
        <w:jc w:val="both"/>
        <w:rPr>
          <w:rFonts w:ascii="Arial" w:hAnsi="Arial" w:cs="Arial"/>
          <w:lang w:val="en-GB"/>
        </w:rPr>
      </w:pPr>
      <w:r w:rsidRPr="00D463D9">
        <w:rPr>
          <w:rFonts w:ascii="Arial" w:hAnsi="Arial" w:cs="Arial"/>
          <w:lang w:val="en-GB"/>
        </w:rPr>
        <w:t>The British Council is committed to policies and practices of equality, diversity and inclusion across everything we do. We want to address under representation</w:t>
      </w:r>
      <w:r>
        <w:rPr>
          <w:rFonts w:ascii="Arial" w:hAnsi="Arial" w:cs="Arial"/>
          <w:lang w:val="en-GB"/>
        </w:rPr>
        <w:t xml:space="preserve"> </w:t>
      </w:r>
      <w:r w:rsidRPr="00D463D9">
        <w:rPr>
          <w:rFonts w:ascii="Arial" w:hAnsi="Arial" w:cs="Arial"/>
          <w:lang w:val="en-GB"/>
        </w:rPr>
        <w:t>and encourage applicants from under-represented groups, in particular, but not exclusively, on grounds of ethnicity and</w:t>
      </w:r>
      <w:r>
        <w:rPr>
          <w:rFonts w:ascii="Arial" w:hAnsi="Arial" w:cs="Arial"/>
          <w:lang w:val="en-GB"/>
        </w:rPr>
        <w:t xml:space="preserve"> </w:t>
      </w:r>
      <w:r w:rsidRPr="00D463D9">
        <w:rPr>
          <w:rFonts w:ascii="Arial" w:hAnsi="Arial" w:cs="Arial"/>
          <w:lang w:val="en-GB"/>
        </w:rPr>
        <w:t>disability</w:t>
      </w:r>
      <w:r>
        <w:rPr>
          <w:rFonts w:ascii="Arial" w:hAnsi="Arial" w:cs="Arial"/>
          <w:lang w:val="en-GB"/>
        </w:rPr>
        <w:t>.</w:t>
      </w:r>
    </w:p>
    <w:p w14:paraId="0DED6A3E" w14:textId="77777777" w:rsidR="002C1986" w:rsidRPr="00D463D9" w:rsidRDefault="002C1986" w:rsidP="002C1986">
      <w:pPr>
        <w:jc w:val="both"/>
        <w:rPr>
          <w:rFonts w:ascii="Arial" w:hAnsi="Arial" w:cs="Arial"/>
          <w:lang w:val="en-GB"/>
        </w:rPr>
      </w:pPr>
      <w:r w:rsidRPr="00D463D9">
        <w:rPr>
          <w:rFonts w:ascii="Arial" w:hAnsi="Arial" w:cs="Arial"/>
          <w:lang w:val="en-GB"/>
        </w:rPr>
        <w:t>The British Council is committed to safeguarding children, young people and adults who we work with.</w:t>
      </w:r>
      <w:r>
        <w:rPr>
          <w:rFonts w:ascii="Arial" w:hAnsi="Arial" w:cs="Arial"/>
          <w:lang w:val="en-GB"/>
        </w:rPr>
        <w:t xml:space="preserve"> </w:t>
      </w:r>
      <w:r w:rsidRPr="00D463D9">
        <w:rPr>
          <w:rFonts w:ascii="Arial" w:hAnsi="Arial" w:cs="Arial"/>
          <w:lang w:val="en-GB"/>
        </w:rPr>
        <w:t>We believe that all children and adults everywhere in the world deserve to live in safe environments and have the right to be</w:t>
      </w:r>
      <w:r>
        <w:rPr>
          <w:rFonts w:ascii="Arial" w:hAnsi="Arial" w:cs="Arial"/>
          <w:lang w:val="en-GB"/>
        </w:rPr>
        <w:t xml:space="preserve"> </w:t>
      </w:r>
      <w:r w:rsidRPr="00D463D9">
        <w:rPr>
          <w:rFonts w:ascii="Arial" w:hAnsi="Arial" w:cs="Arial"/>
          <w:lang w:val="en-GB"/>
        </w:rPr>
        <w:t>protected from all forms of abuse, maltreatment and exploitation as set out in article 19, UNCRC (United Nations</w:t>
      </w:r>
      <w:r>
        <w:rPr>
          <w:rFonts w:ascii="Arial" w:hAnsi="Arial" w:cs="Arial"/>
          <w:lang w:val="en-GB"/>
        </w:rPr>
        <w:t xml:space="preserve"> </w:t>
      </w:r>
      <w:r w:rsidRPr="00D463D9">
        <w:rPr>
          <w:rFonts w:ascii="Arial" w:hAnsi="Arial" w:cs="Arial"/>
          <w:lang w:val="en-GB"/>
        </w:rPr>
        <w:t>Convention on the Rights of the Child) 1989.</w:t>
      </w:r>
    </w:p>
    <w:p w14:paraId="31B427CE" w14:textId="77777777" w:rsidR="002C1986" w:rsidRPr="002C1986" w:rsidRDefault="002C1986">
      <w:pPr>
        <w:rPr>
          <w:rFonts w:ascii="Arial" w:hAnsi="Arial" w:cs="Arial"/>
          <w:lang w:val="en-GB"/>
        </w:rPr>
      </w:pPr>
    </w:p>
    <w:p w14:paraId="3AD3F34A" w14:textId="77777777" w:rsidR="004D0F5F" w:rsidRDefault="004D0F5F" w:rsidP="002370D7">
      <w:pPr>
        <w:pStyle w:val="Title"/>
        <w:rPr>
          <w:rFonts w:ascii="Arial" w:hAnsi="Arial" w:cs="Arial"/>
          <w:sz w:val="22"/>
          <w:szCs w:val="22"/>
        </w:rPr>
      </w:pPr>
    </w:p>
    <w:sectPr w:rsidR="004D0F5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AFB7" w14:textId="77777777" w:rsidR="004F3B74" w:rsidRDefault="004F3B74" w:rsidP="00445248">
      <w:pPr>
        <w:spacing w:after="0" w:line="240" w:lineRule="auto"/>
      </w:pPr>
      <w:r>
        <w:separator/>
      </w:r>
    </w:p>
  </w:endnote>
  <w:endnote w:type="continuationSeparator" w:id="0">
    <w:p w14:paraId="06E7CAFF" w14:textId="77777777" w:rsidR="004F3B74" w:rsidRDefault="004F3B74" w:rsidP="0044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73F0" w14:textId="77777777" w:rsidR="004F3B74" w:rsidRDefault="004F3B74" w:rsidP="00445248">
      <w:pPr>
        <w:spacing w:after="0" w:line="240" w:lineRule="auto"/>
      </w:pPr>
      <w:r>
        <w:separator/>
      </w:r>
    </w:p>
  </w:footnote>
  <w:footnote w:type="continuationSeparator" w:id="0">
    <w:p w14:paraId="4B7982E8" w14:textId="77777777" w:rsidR="004F3B74" w:rsidRDefault="004F3B74" w:rsidP="0044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119E" w14:textId="54E727A2" w:rsidR="00445248" w:rsidRPr="00445248" w:rsidRDefault="00445248" w:rsidP="00445248">
    <w:pPr>
      <w:pStyle w:val="Header"/>
    </w:pPr>
    <w:r>
      <w:rPr>
        <w:noProof/>
      </w:rPr>
      <w:drawing>
        <wp:inline distT="0" distB="0" distL="0" distR="0" wp14:anchorId="42E84CBD" wp14:editId="64D4D529">
          <wp:extent cx="1612800" cy="453600"/>
          <wp:effectExtent l="0" t="0" r="635" b="3810"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28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3C56BF"/>
    <w:multiLevelType w:val="hybridMultilevel"/>
    <w:tmpl w:val="F70AF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677A3"/>
    <w:multiLevelType w:val="multilevel"/>
    <w:tmpl w:val="FA3E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AB5591"/>
    <w:multiLevelType w:val="hybridMultilevel"/>
    <w:tmpl w:val="A208A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91289"/>
    <w:multiLevelType w:val="hybridMultilevel"/>
    <w:tmpl w:val="7F265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C5BED"/>
    <w:multiLevelType w:val="multilevel"/>
    <w:tmpl w:val="9DFC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50287D"/>
    <w:multiLevelType w:val="hybridMultilevel"/>
    <w:tmpl w:val="136675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951A9"/>
    <w:multiLevelType w:val="hybridMultilevel"/>
    <w:tmpl w:val="BC72DA32"/>
    <w:lvl w:ilvl="0" w:tplc="D6F2BDB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D47EF"/>
    <w:multiLevelType w:val="hybridMultilevel"/>
    <w:tmpl w:val="68785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32229"/>
    <w:multiLevelType w:val="hybridMultilevel"/>
    <w:tmpl w:val="82903A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8B65F8"/>
    <w:multiLevelType w:val="hybridMultilevel"/>
    <w:tmpl w:val="74B80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24FC0"/>
    <w:multiLevelType w:val="multilevel"/>
    <w:tmpl w:val="916A1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D06651"/>
    <w:multiLevelType w:val="multilevel"/>
    <w:tmpl w:val="E94A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3E3D2E"/>
    <w:multiLevelType w:val="hybridMultilevel"/>
    <w:tmpl w:val="C1B27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6278C"/>
    <w:multiLevelType w:val="hybridMultilevel"/>
    <w:tmpl w:val="95267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00B7A"/>
    <w:multiLevelType w:val="multilevel"/>
    <w:tmpl w:val="D254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58048F"/>
    <w:multiLevelType w:val="multilevel"/>
    <w:tmpl w:val="1262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8A6EE3"/>
    <w:multiLevelType w:val="hybridMultilevel"/>
    <w:tmpl w:val="71E86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F1199"/>
    <w:multiLevelType w:val="multilevel"/>
    <w:tmpl w:val="A602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B61176"/>
    <w:multiLevelType w:val="multilevel"/>
    <w:tmpl w:val="38E4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7A484D"/>
    <w:multiLevelType w:val="hybridMultilevel"/>
    <w:tmpl w:val="D4183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0767A"/>
    <w:multiLevelType w:val="hybridMultilevel"/>
    <w:tmpl w:val="12F82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986615">
    <w:abstractNumId w:val="8"/>
  </w:num>
  <w:num w:numId="2" w16cid:durableId="707415385">
    <w:abstractNumId w:val="6"/>
  </w:num>
  <w:num w:numId="3" w16cid:durableId="899365548">
    <w:abstractNumId w:val="5"/>
  </w:num>
  <w:num w:numId="4" w16cid:durableId="932468991">
    <w:abstractNumId w:val="4"/>
  </w:num>
  <w:num w:numId="5" w16cid:durableId="411976652">
    <w:abstractNumId w:val="7"/>
  </w:num>
  <w:num w:numId="6" w16cid:durableId="1251082492">
    <w:abstractNumId w:val="3"/>
  </w:num>
  <w:num w:numId="7" w16cid:durableId="1714114107">
    <w:abstractNumId w:val="2"/>
  </w:num>
  <w:num w:numId="8" w16cid:durableId="1015961196">
    <w:abstractNumId w:val="1"/>
  </w:num>
  <w:num w:numId="9" w16cid:durableId="821969460">
    <w:abstractNumId w:val="0"/>
  </w:num>
  <w:num w:numId="10" w16cid:durableId="1025180711">
    <w:abstractNumId w:val="26"/>
  </w:num>
  <w:num w:numId="11" w16cid:durableId="1378554446">
    <w:abstractNumId w:val="24"/>
  </w:num>
  <w:num w:numId="12" w16cid:durableId="1578514383">
    <w:abstractNumId w:val="23"/>
  </w:num>
  <w:num w:numId="13" w16cid:durableId="296880624">
    <w:abstractNumId w:val="20"/>
  </w:num>
  <w:num w:numId="14" w16cid:durableId="1007173539">
    <w:abstractNumId w:val="12"/>
  </w:num>
  <w:num w:numId="15" w16cid:durableId="1861240333">
    <w:abstractNumId w:val="16"/>
  </w:num>
  <w:num w:numId="16" w16cid:durableId="1832795545">
    <w:abstractNumId w:val="21"/>
  </w:num>
  <w:num w:numId="17" w16cid:durableId="646402968">
    <w:abstractNumId w:val="18"/>
  </w:num>
  <w:num w:numId="18" w16cid:durableId="1882093449">
    <w:abstractNumId w:val="14"/>
  </w:num>
  <w:num w:numId="19" w16cid:durableId="1973362185">
    <w:abstractNumId w:val="25"/>
  </w:num>
  <w:num w:numId="20" w16cid:durableId="1124421141">
    <w:abstractNumId w:val="17"/>
  </w:num>
  <w:num w:numId="21" w16cid:durableId="2074814505">
    <w:abstractNumId w:val="22"/>
  </w:num>
  <w:num w:numId="22" w16cid:durableId="1780515">
    <w:abstractNumId w:val="29"/>
  </w:num>
  <w:num w:numId="23" w16cid:durableId="253513947">
    <w:abstractNumId w:val="13"/>
  </w:num>
  <w:num w:numId="24" w16cid:durableId="2071341965">
    <w:abstractNumId w:val="10"/>
  </w:num>
  <w:num w:numId="25" w16cid:durableId="568805762">
    <w:abstractNumId w:val="27"/>
  </w:num>
  <w:num w:numId="26" w16cid:durableId="132211453">
    <w:abstractNumId w:val="19"/>
  </w:num>
  <w:num w:numId="27" w16cid:durableId="1147629762">
    <w:abstractNumId w:val="9"/>
  </w:num>
  <w:num w:numId="28" w16cid:durableId="1810586248">
    <w:abstractNumId w:val="15"/>
  </w:num>
  <w:num w:numId="29" w16cid:durableId="1796942876">
    <w:abstractNumId w:val="28"/>
  </w:num>
  <w:num w:numId="30" w16cid:durableId="19295369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33E"/>
    <w:rsid w:val="0002078B"/>
    <w:rsid w:val="00034616"/>
    <w:rsid w:val="0006063C"/>
    <w:rsid w:val="001123EE"/>
    <w:rsid w:val="001347BC"/>
    <w:rsid w:val="00136334"/>
    <w:rsid w:val="00146691"/>
    <w:rsid w:val="0015074B"/>
    <w:rsid w:val="001531C9"/>
    <w:rsid w:val="00181D86"/>
    <w:rsid w:val="00186272"/>
    <w:rsid w:val="001C05C8"/>
    <w:rsid w:val="001E327F"/>
    <w:rsid w:val="002370D7"/>
    <w:rsid w:val="002419F4"/>
    <w:rsid w:val="0026117D"/>
    <w:rsid w:val="00283088"/>
    <w:rsid w:val="0029069E"/>
    <w:rsid w:val="0029639D"/>
    <w:rsid w:val="002A1E9F"/>
    <w:rsid w:val="002B07F6"/>
    <w:rsid w:val="002C17D2"/>
    <w:rsid w:val="002C1986"/>
    <w:rsid w:val="002E6A57"/>
    <w:rsid w:val="002F633D"/>
    <w:rsid w:val="00326F90"/>
    <w:rsid w:val="00350FF1"/>
    <w:rsid w:val="00367382"/>
    <w:rsid w:val="0037570E"/>
    <w:rsid w:val="003766FC"/>
    <w:rsid w:val="00376CCB"/>
    <w:rsid w:val="00390295"/>
    <w:rsid w:val="00397A65"/>
    <w:rsid w:val="003C4217"/>
    <w:rsid w:val="003C6BBC"/>
    <w:rsid w:val="003E1246"/>
    <w:rsid w:val="004212B8"/>
    <w:rsid w:val="00433326"/>
    <w:rsid w:val="0043743B"/>
    <w:rsid w:val="00444089"/>
    <w:rsid w:val="00445248"/>
    <w:rsid w:val="00481AB0"/>
    <w:rsid w:val="00495F51"/>
    <w:rsid w:val="004C4BFE"/>
    <w:rsid w:val="004D0F5F"/>
    <w:rsid w:val="004E0F5B"/>
    <w:rsid w:val="004F3B74"/>
    <w:rsid w:val="005012B5"/>
    <w:rsid w:val="00551294"/>
    <w:rsid w:val="00570C98"/>
    <w:rsid w:val="00577A44"/>
    <w:rsid w:val="005A49E0"/>
    <w:rsid w:val="005B168F"/>
    <w:rsid w:val="005D4E4A"/>
    <w:rsid w:val="005F0A22"/>
    <w:rsid w:val="00674AE4"/>
    <w:rsid w:val="00683102"/>
    <w:rsid w:val="0069237B"/>
    <w:rsid w:val="006A1A21"/>
    <w:rsid w:val="006A3E2F"/>
    <w:rsid w:val="006D7142"/>
    <w:rsid w:val="006F0811"/>
    <w:rsid w:val="00740CC3"/>
    <w:rsid w:val="00762437"/>
    <w:rsid w:val="00774E91"/>
    <w:rsid w:val="007953F7"/>
    <w:rsid w:val="007A604C"/>
    <w:rsid w:val="007D4C61"/>
    <w:rsid w:val="007D63D9"/>
    <w:rsid w:val="00826F7C"/>
    <w:rsid w:val="00850ECA"/>
    <w:rsid w:val="00875858"/>
    <w:rsid w:val="00891CE2"/>
    <w:rsid w:val="008A472E"/>
    <w:rsid w:val="008B112A"/>
    <w:rsid w:val="008C356A"/>
    <w:rsid w:val="008C66F7"/>
    <w:rsid w:val="008D1BB3"/>
    <w:rsid w:val="008F247E"/>
    <w:rsid w:val="0092596C"/>
    <w:rsid w:val="00970913"/>
    <w:rsid w:val="00977083"/>
    <w:rsid w:val="009817B4"/>
    <w:rsid w:val="00A047ED"/>
    <w:rsid w:val="00A05D8E"/>
    <w:rsid w:val="00A103AF"/>
    <w:rsid w:val="00A278A2"/>
    <w:rsid w:val="00AA1D8D"/>
    <w:rsid w:val="00AE4857"/>
    <w:rsid w:val="00B15E33"/>
    <w:rsid w:val="00B32023"/>
    <w:rsid w:val="00B47730"/>
    <w:rsid w:val="00B5588D"/>
    <w:rsid w:val="00BB2EC2"/>
    <w:rsid w:val="00BC3A37"/>
    <w:rsid w:val="00BC5B62"/>
    <w:rsid w:val="00BD4D25"/>
    <w:rsid w:val="00BF4FD4"/>
    <w:rsid w:val="00C16D5F"/>
    <w:rsid w:val="00C37998"/>
    <w:rsid w:val="00C441F7"/>
    <w:rsid w:val="00C44E06"/>
    <w:rsid w:val="00C535BA"/>
    <w:rsid w:val="00C702B5"/>
    <w:rsid w:val="00CB0664"/>
    <w:rsid w:val="00CB66A1"/>
    <w:rsid w:val="00CE0C5E"/>
    <w:rsid w:val="00D02984"/>
    <w:rsid w:val="00D052B9"/>
    <w:rsid w:val="00D3403A"/>
    <w:rsid w:val="00D6394A"/>
    <w:rsid w:val="00D91016"/>
    <w:rsid w:val="00DB737B"/>
    <w:rsid w:val="00DD2241"/>
    <w:rsid w:val="00DF0FCB"/>
    <w:rsid w:val="00E21270"/>
    <w:rsid w:val="00E32AC6"/>
    <w:rsid w:val="00E36BBC"/>
    <w:rsid w:val="00E63B45"/>
    <w:rsid w:val="00E8064B"/>
    <w:rsid w:val="00EB20DA"/>
    <w:rsid w:val="00F11F0B"/>
    <w:rsid w:val="00FB391F"/>
    <w:rsid w:val="00FB57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AF4AF0"/>
  <w14:defaultImageDpi w14:val="300"/>
  <w15:docId w15:val="{A157A825-253A-4051-AAEB-86C55A79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Durutovic, Stela (Serbia)</cp:lastModifiedBy>
  <cp:revision>32</cp:revision>
  <dcterms:created xsi:type="dcterms:W3CDTF">2025-10-06T14:22:00Z</dcterms:created>
  <dcterms:modified xsi:type="dcterms:W3CDTF">2025-10-08T13:58:00Z</dcterms:modified>
  <cp:category/>
</cp:coreProperties>
</file>